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00A" w:rsidRPr="00FC6DEE" w:rsidRDefault="00F5300A" w:rsidP="001732C7">
      <w:pPr>
        <w:pStyle w:val="Rozdzia"/>
      </w:pPr>
      <w:bookmarkStart w:id="0" w:name="_Toc25133128"/>
      <w:bookmarkStart w:id="1" w:name="_Toc25667467"/>
      <w:r w:rsidRPr="00FC6DEE">
        <w:t>Streszczenie</w:t>
      </w:r>
      <w:bookmarkEnd w:id="0"/>
      <w:r w:rsidRPr="00FC6DEE">
        <w:t xml:space="preserve"> rozprawy doktorskiej</w:t>
      </w:r>
      <w:bookmarkEnd w:id="1"/>
    </w:p>
    <w:p w:rsidR="00F5300A" w:rsidRPr="00FC6DEE" w:rsidRDefault="00F5300A" w:rsidP="00F5300A">
      <w:pPr>
        <w:ind w:firstLine="0"/>
        <w:jc w:val="center"/>
      </w:pPr>
    </w:p>
    <w:p w:rsidR="00F5300A" w:rsidRPr="00FC6DEE" w:rsidRDefault="00F5300A" w:rsidP="00F5300A">
      <w:pPr>
        <w:ind w:firstLine="0"/>
        <w:jc w:val="center"/>
      </w:pPr>
      <w:r w:rsidRPr="00FC6DEE">
        <w:t>Małgorzata Martyna Woźniak</w:t>
      </w:r>
    </w:p>
    <w:p w:rsidR="00F5300A" w:rsidRPr="00FC6DEE" w:rsidRDefault="00F5300A" w:rsidP="00F5300A">
      <w:pPr>
        <w:ind w:left="1400" w:firstLine="0"/>
        <w:contextualSpacing/>
      </w:pPr>
    </w:p>
    <w:p w:rsidR="00F5300A" w:rsidRPr="00FC6DEE" w:rsidRDefault="00F5300A" w:rsidP="00F5300A">
      <w:pPr>
        <w:tabs>
          <w:tab w:val="center" w:pos="4395"/>
        </w:tabs>
        <w:spacing w:line="276" w:lineRule="auto"/>
        <w:jc w:val="center"/>
        <w:rPr>
          <w:rFonts w:cs="Times New Roman"/>
          <w:b/>
          <w:szCs w:val="24"/>
        </w:rPr>
      </w:pPr>
      <w:r w:rsidRPr="00FC6DEE">
        <w:rPr>
          <w:rFonts w:cs="Times New Roman"/>
          <w:b/>
          <w:szCs w:val="24"/>
        </w:rPr>
        <w:t>Bakteryjne endofit</w:t>
      </w:r>
      <w:bookmarkStart w:id="2" w:name="_GoBack"/>
      <w:bookmarkEnd w:id="2"/>
      <w:r w:rsidRPr="00FC6DEE">
        <w:rPr>
          <w:rFonts w:cs="Times New Roman"/>
          <w:b/>
          <w:szCs w:val="24"/>
        </w:rPr>
        <w:t xml:space="preserve">y wybranych roślin uprawnych i chwastów – </w:t>
      </w:r>
      <w:r w:rsidRPr="00FC6DEE">
        <w:rPr>
          <w:rFonts w:cs="Times New Roman"/>
          <w:b/>
          <w:szCs w:val="24"/>
        </w:rPr>
        <w:br/>
        <w:t>różnorodność biologiczna i ocena potencjału biotechnologicznego w promowaniu wzrostu i rozwoju roślin</w:t>
      </w:r>
    </w:p>
    <w:p w:rsidR="00F5300A" w:rsidRPr="00FC6DEE" w:rsidRDefault="00F5300A" w:rsidP="00F5300A">
      <w:pPr>
        <w:ind w:left="1400" w:firstLine="0"/>
        <w:contextualSpacing/>
      </w:pPr>
    </w:p>
    <w:p w:rsidR="00F5300A" w:rsidRPr="00FC6DEE" w:rsidRDefault="00F5300A" w:rsidP="00F5300A">
      <w:pPr>
        <w:rPr>
          <w:rFonts w:cs="Times New Roman"/>
          <w:b/>
          <w:i/>
          <w:szCs w:val="24"/>
        </w:rPr>
      </w:pPr>
      <w:r w:rsidRPr="00FC6DEE">
        <w:rPr>
          <w:rFonts w:cs="Times New Roman"/>
          <w:b/>
          <w:bCs/>
          <w:szCs w:val="24"/>
        </w:rPr>
        <w:t xml:space="preserve">Słowa kluczowe: </w:t>
      </w:r>
      <w:r w:rsidRPr="00FC6DEE">
        <w:rPr>
          <w:rFonts w:cs="Times New Roman"/>
          <w:bCs/>
          <w:szCs w:val="24"/>
        </w:rPr>
        <w:t>endofity,</w:t>
      </w:r>
      <w:r w:rsidRPr="00FC6DEE">
        <w:rPr>
          <w:rFonts w:cs="Times New Roman"/>
          <w:szCs w:val="24"/>
        </w:rPr>
        <w:t xml:space="preserve"> sekwencjonowanie genu 16S </w:t>
      </w:r>
      <w:proofErr w:type="spellStart"/>
      <w:r w:rsidRPr="00FC6DEE">
        <w:rPr>
          <w:rFonts w:cs="Times New Roman"/>
          <w:szCs w:val="24"/>
        </w:rPr>
        <w:t>rRNA</w:t>
      </w:r>
      <w:proofErr w:type="spellEnd"/>
      <w:r w:rsidRPr="00FC6DEE">
        <w:rPr>
          <w:rFonts w:cs="Times New Roman"/>
          <w:bCs/>
          <w:szCs w:val="24"/>
        </w:rPr>
        <w:t>,</w:t>
      </w:r>
      <w:r w:rsidRPr="00FC6DEE">
        <w:rPr>
          <w:rFonts w:cs="Times New Roman"/>
          <w:b/>
          <w:bCs/>
          <w:szCs w:val="24"/>
        </w:rPr>
        <w:t xml:space="preserve"> </w:t>
      </w:r>
      <w:r w:rsidRPr="00FC6DEE">
        <w:rPr>
          <w:rFonts w:cs="Times New Roman"/>
          <w:szCs w:val="24"/>
        </w:rPr>
        <w:t xml:space="preserve">różnorodność genetyczna, profil metaboliczny, właściwości promowania wzrostu i rozwoju roślin, zrównoważone rolnictwo, </w:t>
      </w:r>
      <w:proofErr w:type="spellStart"/>
      <w:r w:rsidRPr="00FC6DEE">
        <w:rPr>
          <w:rFonts w:cs="Times New Roman"/>
          <w:szCs w:val="24"/>
        </w:rPr>
        <w:t>bioprodukty</w:t>
      </w:r>
      <w:proofErr w:type="spellEnd"/>
    </w:p>
    <w:p w:rsidR="00F5300A" w:rsidRPr="00FC6DEE" w:rsidRDefault="00F5300A" w:rsidP="00F5300A">
      <w:pPr>
        <w:ind w:left="1400" w:firstLine="0"/>
        <w:contextualSpacing/>
      </w:pPr>
    </w:p>
    <w:p w:rsidR="00F5300A" w:rsidRPr="00FC6DEE" w:rsidRDefault="00F5300A" w:rsidP="00F5300A">
      <w:pPr>
        <w:rPr>
          <w:rFonts w:eastAsia="Times New Roman" w:cs="Times New Roman"/>
          <w:szCs w:val="24"/>
          <w:lang w:eastAsia="pl-PL"/>
        </w:rPr>
      </w:pPr>
      <w:r w:rsidRPr="00FC6DEE">
        <w:rPr>
          <w:rFonts w:cs="Times New Roman"/>
          <w:szCs w:val="24"/>
        </w:rPr>
        <w:t>Wraz z globalną potrzebą zapewnienia bezpieczeństwa żywnościowego, zmianami klimatu i rosnącymi zanieczyszczeniami wynikającymi z masowego stosowania niebezpiecznych agrochemikaliów tj. pestycydów i nawozów, wzrosło zainteresowanie znalezieniem alternatywnych metod nawożenia i zwalczania szkodników upraw. W związku z tym wykorzystanie bakterii endofitycznych w rolnictwie okazuje się być obiecującym narzędziem w rozwoju zrównoważonego rolnictwa. Biologiczny potencjał endofitów bakteryjnych w promowaniu wzrostu roślin i łagodzeniu biotycznych i abiotycznych stresów oferuje ekonomiczny i przyjazny dla środowiska sposób zwiększania wzrostu roślin i</w:t>
      </w:r>
      <w:r w:rsidRPr="00FC6DEE">
        <w:t> </w:t>
      </w:r>
      <w:r w:rsidRPr="00FC6DEE">
        <w:rPr>
          <w:rFonts w:cs="Times New Roman"/>
          <w:szCs w:val="24"/>
        </w:rPr>
        <w:t xml:space="preserve">wydajności upraw oraz utrzymania zdrowia gleby. </w:t>
      </w:r>
      <w:r w:rsidRPr="00FC6DEE">
        <w:rPr>
          <w:rFonts w:cs="Times New Roman"/>
          <w:szCs w:val="24"/>
        </w:rPr>
        <w:tab/>
      </w:r>
      <w:r w:rsidRPr="00FC6DEE">
        <w:rPr>
          <w:rFonts w:cs="Times New Roman"/>
          <w:szCs w:val="24"/>
        </w:rPr>
        <w:tab/>
      </w:r>
      <w:r w:rsidRPr="00FC6DEE">
        <w:rPr>
          <w:rFonts w:cs="Times New Roman"/>
          <w:szCs w:val="24"/>
        </w:rPr>
        <w:tab/>
      </w:r>
      <w:r w:rsidRPr="00FC6DEE">
        <w:rPr>
          <w:rFonts w:cs="Times New Roman"/>
          <w:szCs w:val="24"/>
        </w:rPr>
        <w:tab/>
      </w:r>
      <w:r w:rsidRPr="00FC6DEE">
        <w:rPr>
          <w:rFonts w:cs="Times New Roman"/>
          <w:szCs w:val="24"/>
        </w:rPr>
        <w:tab/>
      </w:r>
      <w:r w:rsidRPr="00FC6DEE">
        <w:rPr>
          <w:rFonts w:cs="Times New Roman"/>
          <w:szCs w:val="24"/>
        </w:rPr>
        <w:tab/>
        <w:t>Celem rozprawy doktorskiej była identyfikacja i scharakteryzowanie rodzimych szczepów bakterii endofitycznych wyizolowanych z powierzchniowo sterylizowanych korzeni i łodyg lokalnych roślin uprawnych i chwastów, oraz określenie ich potencjału biostymulującego wzrost i rozwój roślin. Łącznie wyselekcjonowano 45 izolatów bakterii endofitycznych, które zidentyfikowano za pomocą analizy porównawczej sekwencji genu 16S </w:t>
      </w:r>
      <w:proofErr w:type="spellStart"/>
      <w:r w:rsidRPr="00FC6DEE">
        <w:rPr>
          <w:rFonts w:cs="Times New Roman"/>
          <w:szCs w:val="24"/>
        </w:rPr>
        <w:t>rRNA</w:t>
      </w:r>
      <w:proofErr w:type="spellEnd"/>
      <w:r w:rsidRPr="00FC6DEE">
        <w:rPr>
          <w:rFonts w:cs="Times New Roman"/>
          <w:szCs w:val="24"/>
        </w:rPr>
        <w:t xml:space="preserve"> i zróżnicowano wykorzystując </w:t>
      </w:r>
      <w:r w:rsidRPr="00FC6DEE">
        <w:rPr>
          <w:rFonts w:cs="Times New Roman"/>
          <w:iCs/>
          <w:szCs w:val="24"/>
        </w:rPr>
        <w:t xml:space="preserve">metody </w:t>
      </w:r>
      <w:proofErr w:type="spellStart"/>
      <w:r w:rsidRPr="00FC6DEE">
        <w:rPr>
          <w:rFonts w:cs="Times New Roman"/>
          <w:i/>
          <w:iCs/>
          <w:szCs w:val="24"/>
        </w:rPr>
        <w:t>fingerprintingu</w:t>
      </w:r>
      <w:proofErr w:type="spellEnd"/>
      <w:r w:rsidRPr="00FC6DEE">
        <w:rPr>
          <w:rFonts w:cs="Times New Roman"/>
          <w:i/>
          <w:iCs/>
          <w:szCs w:val="24"/>
        </w:rPr>
        <w:t xml:space="preserve">: </w:t>
      </w:r>
      <w:r w:rsidRPr="00FC6DEE">
        <w:rPr>
          <w:rFonts w:cs="Times New Roman"/>
          <w:iCs/>
          <w:szCs w:val="24"/>
        </w:rPr>
        <w:t>PCR-DGGE, BOX-PCR i ERIC-PCR</w:t>
      </w:r>
      <w:r w:rsidRPr="00FC6DEE">
        <w:rPr>
          <w:rFonts w:cs="Times New Roman"/>
          <w:i/>
          <w:iCs/>
          <w:szCs w:val="24"/>
        </w:rPr>
        <w:t xml:space="preserve">. </w:t>
      </w:r>
      <w:r w:rsidRPr="00FC6DEE">
        <w:rPr>
          <w:rFonts w:cs="Times New Roman"/>
          <w:iCs/>
          <w:szCs w:val="24"/>
        </w:rPr>
        <w:t>Wyizolowane bakterie sklasyfikowano do rodzaju:</w:t>
      </w:r>
      <w:r w:rsidRPr="00FC6DEE">
        <w:rPr>
          <w:rFonts w:ascii="AdvOT7d6df7ab.I" w:hAnsi="AdvOT7d6df7ab.I" w:cs="AdvOT7d6df7ab.I"/>
          <w:sz w:val="19"/>
          <w:szCs w:val="19"/>
        </w:rPr>
        <w:t xml:space="preserve"> </w:t>
      </w:r>
      <w:r w:rsidRPr="00FC6DEE">
        <w:rPr>
          <w:rFonts w:ascii="AdvOT7d6df7ab.I" w:hAnsi="AdvOT7d6df7ab.I" w:cs="AdvOT7d6df7ab.I"/>
          <w:i/>
          <w:szCs w:val="24"/>
        </w:rPr>
        <w:t>Rhizobium</w:t>
      </w:r>
      <w:r w:rsidRPr="00FC6DEE">
        <w:rPr>
          <w:rFonts w:ascii="AdvOT7d6df7ab.I" w:hAnsi="AdvOT7d6df7ab.I" w:cs="AdvOT7d6df7ab.I"/>
          <w:szCs w:val="24"/>
        </w:rPr>
        <w:t>,</w:t>
      </w:r>
      <w:r w:rsidRPr="00FC6DEE">
        <w:rPr>
          <w:rFonts w:cs="Times New Roman"/>
          <w:i/>
          <w:iCs/>
          <w:szCs w:val="24"/>
        </w:rPr>
        <w:t xml:space="preserve"> </w:t>
      </w:r>
      <w:r w:rsidRPr="00FC6DEE">
        <w:rPr>
          <w:rFonts w:ascii="AdvOT7d6df7ab.I" w:hAnsi="AdvOT7d6df7ab.I" w:cs="AdvOT7d6df7ab.I"/>
          <w:i/>
          <w:szCs w:val="24"/>
        </w:rPr>
        <w:t>Delftia</w:t>
      </w:r>
      <w:r w:rsidRPr="00FC6DEE">
        <w:rPr>
          <w:rFonts w:ascii="AdvOT7d6df7ab.I" w:hAnsi="AdvOT7d6df7ab.I" w:cs="AdvOT7d6df7ab.I"/>
          <w:szCs w:val="24"/>
        </w:rPr>
        <w:t xml:space="preserve">, </w:t>
      </w:r>
      <w:proofErr w:type="spellStart"/>
      <w:r w:rsidRPr="00FC6DEE">
        <w:rPr>
          <w:rFonts w:ascii="AdvOT7d6df7ab.I" w:hAnsi="AdvOT7d6df7ab.I" w:cs="AdvOT7d6df7ab.I"/>
          <w:i/>
          <w:szCs w:val="24"/>
        </w:rPr>
        <w:t>Agrobacterium</w:t>
      </w:r>
      <w:proofErr w:type="spellEnd"/>
      <w:r w:rsidRPr="00FC6DEE">
        <w:rPr>
          <w:rFonts w:ascii="AdvOT7d6df7ab.I" w:hAnsi="AdvOT7d6df7ab.I" w:cs="AdvOT7d6df7ab.I"/>
          <w:szCs w:val="24"/>
        </w:rPr>
        <w:t xml:space="preserve">, </w:t>
      </w:r>
      <w:r w:rsidRPr="00FC6DEE">
        <w:rPr>
          <w:rFonts w:ascii="AdvOT7d6df7ab.I" w:hAnsi="AdvOT7d6df7ab.I" w:cs="AdvOT7d6df7ab.I"/>
          <w:i/>
          <w:szCs w:val="24"/>
        </w:rPr>
        <w:t>Stenotrophomonas</w:t>
      </w:r>
      <w:r w:rsidRPr="00FC6DEE">
        <w:rPr>
          <w:rFonts w:ascii="AdvOT7d6df7ab.I" w:hAnsi="AdvOT7d6df7ab.I" w:cs="AdvOT7d6df7ab.I"/>
          <w:szCs w:val="24"/>
        </w:rPr>
        <w:t xml:space="preserve">, </w:t>
      </w:r>
      <w:r w:rsidRPr="00FC6DEE">
        <w:rPr>
          <w:rFonts w:ascii="AdvOT7d6df7ab.I" w:hAnsi="AdvOT7d6df7ab.I" w:cs="AdvOT7d6df7ab.I"/>
          <w:i/>
          <w:szCs w:val="24"/>
        </w:rPr>
        <w:t>Brevundimonas</w:t>
      </w:r>
      <w:r w:rsidRPr="00FC6DEE">
        <w:rPr>
          <w:rFonts w:ascii="AdvOT7d6df7ab.I" w:hAnsi="AdvOT7d6df7ab.I" w:cs="AdvOT7d6df7ab.I"/>
          <w:szCs w:val="24"/>
        </w:rPr>
        <w:t xml:space="preserve">, </w:t>
      </w:r>
      <w:r w:rsidRPr="00FC6DEE">
        <w:rPr>
          <w:rFonts w:ascii="AdvOT7d6df7ab.I" w:hAnsi="AdvOT7d6df7ab.I" w:cs="AdvOT7d6df7ab.I"/>
          <w:i/>
          <w:szCs w:val="24"/>
        </w:rPr>
        <w:t>Novosphingobium</w:t>
      </w:r>
      <w:r w:rsidRPr="00FC6DEE">
        <w:rPr>
          <w:rFonts w:ascii="AdvOT7d6df7ab.I" w:hAnsi="AdvOT7d6df7ab.I" w:cs="AdvOT7d6df7ab.I"/>
          <w:szCs w:val="24"/>
        </w:rPr>
        <w:t xml:space="preserve">, </w:t>
      </w:r>
      <w:r w:rsidRPr="00FC6DEE">
        <w:rPr>
          <w:rFonts w:ascii="AdvOT7d6df7ab.I" w:hAnsi="AdvOT7d6df7ab.I" w:cs="AdvOT7d6df7ab.I"/>
          <w:i/>
          <w:szCs w:val="24"/>
        </w:rPr>
        <w:t>Variovorax</w:t>
      </w:r>
      <w:r w:rsidRPr="00FC6DEE">
        <w:rPr>
          <w:rFonts w:ascii="AdvOT7d6df7ab.I" w:hAnsi="AdvOT7d6df7ab.I" w:cs="AdvOT7d6df7ab.I"/>
          <w:szCs w:val="24"/>
        </w:rPr>
        <w:t xml:space="preserve">, </w:t>
      </w:r>
      <w:r w:rsidRPr="00FC6DEE">
        <w:rPr>
          <w:rFonts w:ascii="AdvOT7d6df7ab.I" w:hAnsi="AdvOT7d6df7ab.I" w:cs="AdvOT7d6df7ab.I"/>
          <w:i/>
          <w:szCs w:val="24"/>
        </w:rPr>
        <w:t>Collimonas</w:t>
      </w:r>
      <w:r w:rsidRPr="00FC6DEE">
        <w:rPr>
          <w:rFonts w:ascii="AdvOT7d6df7ab.I" w:hAnsi="AdvOT7d6df7ab.I" w:cs="AdvOT7d6df7ab.I"/>
          <w:szCs w:val="24"/>
        </w:rPr>
        <w:t xml:space="preserve">, </w:t>
      </w:r>
      <w:r w:rsidRPr="00FC6DEE">
        <w:rPr>
          <w:rFonts w:ascii="AdvOT7d6df7ab.I" w:hAnsi="AdvOT7d6df7ab.I" w:cs="AdvOT7d6df7ab.I"/>
          <w:i/>
          <w:szCs w:val="24"/>
        </w:rPr>
        <w:t>Achromobacter</w:t>
      </w:r>
      <w:r w:rsidRPr="00FC6DEE">
        <w:rPr>
          <w:rFonts w:ascii="AdvOT7d6df7ab.I" w:hAnsi="AdvOT7d6df7ab.I" w:cs="AdvOT7d6df7ab.I"/>
          <w:szCs w:val="24"/>
        </w:rPr>
        <w:t xml:space="preserve"> </w:t>
      </w:r>
      <w:r w:rsidRPr="00FC6DEE">
        <w:rPr>
          <w:rFonts w:ascii="AdvOT1ef757c0" w:hAnsi="AdvOT1ef757c0" w:cs="AdvOT1ef757c0"/>
          <w:szCs w:val="24"/>
        </w:rPr>
        <w:t xml:space="preserve">i </w:t>
      </w:r>
      <w:r w:rsidRPr="00FC6DEE">
        <w:rPr>
          <w:rFonts w:ascii="AdvOT7d6df7ab.I" w:hAnsi="AdvOT7d6df7ab.I" w:cs="AdvOT7d6df7ab.I"/>
          <w:i/>
          <w:szCs w:val="24"/>
        </w:rPr>
        <w:t>Comamonas</w:t>
      </w:r>
      <w:r w:rsidRPr="00FC6DEE">
        <w:rPr>
          <w:rFonts w:ascii="AdvOT7d6df7ab.I" w:hAnsi="AdvOT7d6df7ab.I" w:cs="AdvOT7d6df7ab.I"/>
          <w:szCs w:val="24"/>
        </w:rPr>
        <w:t>.</w:t>
      </w:r>
      <w:r w:rsidRPr="00FC6DEE">
        <w:rPr>
          <w:rFonts w:ascii="AdvOT7d6df7ab.I" w:hAnsi="AdvOT7d6df7ab.I" w:cs="AdvOT7d6df7ab.I"/>
          <w:sz w:val="19"/>
          <w:szCs w:val="19"/>
        </w:rPr>
        <w:t xml:space="preserve"> </w:t>
      </w:r>
      <w:r w:rsidRPr="00FC6DEE">
        <w:rPr>
          <w:rFonts w:cs="Times New Roman"/>
          <w:szCs w:val="24"/>
        </w:rPr>
        <w:t xml:space="preserve">W oparciu o wybrane techniki molekularne, stwierdzono że genotyp rośliny istotnie wpływa na skład i zróżnicowanie bakterii endofitycznych. Po analizie podobieństwa nukleotydów </w:t>
      </w:r>
      <w:r w:rsidRPr="00FC6DEE">
        <w:rPr>
          <w:rFonts w:cs="Times New Roman"/>
          <w:i/>
          <w:szCs w:val="24"/>
        </w:rPr>
        <w:t xml:space="preserve">in </w:t>
      </w:r>
      <w:proofErr w:type="spellStart"/>
      <w:r w:rsidRPr="00FC6DEE">
        <w:rPr>
          <w:rFonts w:cs="Times New Roman"/>
          <w:i/>
          <w:szCs w:val="24"/>
        </w:rPr>
        <w:t>silico</w:t>
      </w:r>
      <w:proofErr w:type="spellEnd"/>
      <w:r w:rsidRPr="00FC6DEE">
        <w:rPr>
          <w:rFonts w:cs="Times New Roman"/>
          <w:szCs w:val="24"/>
        </w:rPr>
        <w:t xml:space="preserve">, do dalszych badań wybrano 23 szczepy bakterii. Wykorzystując System Biolog GEN III </w:t>
      </w:r>
      <w:proofErr w:type="spellStart"/>
      <w:r w:rsidRPr="00FC6DEE">
        <w:rPr>
          <w:rFonts w:cs="Times New Roman"/>
          <w:szCs w:val="24"/>
        </w:rPr>
        <w:t>MicroPlate</w:t>
      </w:r>
      <w:proofErr w:type="spellEnd"/>
      <w:r w:rsidRPr="00FC6DEE">
        <w:rPr>
          <w:rFonts w:cs="Times New Roman"/>
          <w:szCs w:val="24"/>
        </w:rPr>
        <w:t xml:space="preserve"> określono potencjał </w:t>
      </w:r>
      <w:r w:rsidRPr="00FC6DEE">
        <w:rPr>
          <w:rFonts w:cs="Times New Roman"/>
          <w:szCs w:val="24"/>
        </w:rPr>
        <w:lastRenderedPageBreak/>
        <w:t xml:space="preserve">kataboliczny analizowanych szczepów w stosunku do wybranych substratów. Analiza pozwoliła na wytypowanie najaktywniejszych metabolicznie bakterii - </w:t>
      </w:r>
      <w:r w:rsidRPr="00FC6DEE">
        <w:rPr>
          <w:rFonts w:eastAsia="Times New Roman" w:cs="Times New Roman"/>
          <w:i/>
          <w:szCs w:val="24"/>
          <w:lang w:eastAsia="pl-PL"/>
        </w:rPr>
        <w:t xml:space="preserve">Stenotrophomonas maltophilia, Novosphingobium </w:t>
      </w:r>
      <w:proofErr w:type="spellStart"/>
      <w:r w:rsidRPr="00FC6DEE">
        <w:rPr>
          <w:rFonts w:eastAsia="Times New Roman" w:cs="Times New Roman"/>
          <w:i/>
          <w:szCs w:val="24"/>
          <w:lang w:eastAsia="pl-PL"/>
        </w:rPr>
        <w:t>resinovorum</w:t>
      </w:r>
      <w:proofErr w:type="spellEnd"/>
      <w:r w:rsidRPr="00FC6DEE">
        <w:rPr>
          <w:rFonts w:eastAsia="Times New Roman" w:cs="Times New Roman"/>
          <w:i/>
          <w:szCs w:val="24"/>
          <w:lang w:eastAsia="pl-PL"/>
        </w:rPr>
        <w:t xml:space="preserve"> </w:t>
      </w:r>
      <w:r w:rsidRPr="00FC6DEE">
        <w:rPr>
          <w:rFonts w:eastAsia="Times New Roman" w:cs="Times New Roman"/>
          <w:szCs w:val="24"/>
          <w:lang w:eastAsia="pl-PL"/>
        </w:rPr>
        <w:t xml:space="preserve">i </w:t>
      </w:r>
      <w:r w:rsidRPr="00FC6DEE">
        <w:rPr>
          <w:rFonts w:eastAsia="Times New Roman" w:cs="Times New Roman"/>
          <w:i/>
          <w:szCs w:val="24"/>
          <w:lang w:eastAsia="pl-PL"/>
        </w:rPr>
        <w:t>Delftia acidovorans</w:t>
      </w:r>
      <w:r w:rsidRPr="00FC6DEE">
        <w:rPr>
          <w:rFonts w:cs="Times New Roman"/>
          <w:szCs w:val="24"/>
        </w:rPr>
        <w:t>. Właściwości metaboliczne i fenotypowe endofitów bakteryjnych były ścisłe zależne od rodzaju bakterii i nie były skorelowane z gatunkiem rośliny żywicielskiej. Następnie wykonano szereg biochemicznych analiz mających na celu określenie potencjału biostymulującego wzrost i rozwój roślin. Wszystkie</w:t>
      </w:r>
      <w:r w:rsidRPr="00FC6DEE">
        <w:t xml:space="preserve"> szczepy bakterii endofitycznych syntetyzowały związki podobne do kwasu indolilo-3-octowy (IAA), większość z nich (95%) to aktywne </w:t>
      </w:r>
      <w:proofErr w:type="spellStart"/>
      <w:r w:rsidRPr="00FC6DEE">
        <w:t>diazotrofy</w:t>
      </w:r>
      <w:proofErr w:type="spellEnd"/>
      <w:r w:rsidRPr="00FC6DEE">
        <w:t xml:space="preserve">, 74% szczepów wykazało zdolność do produkcji </w:t>
      </w:r>
      <w:proofErr w:type="spellStart"/>
      <w:r w:rsidRPr="00FC6DEE">
        <w:t>sideroforów</w:t>
      </w:r>
      <w:proofErr w:type="spellEnd"/>
      <w:r w:rsidRPr="00FC6DEE">
        <w:t xml:space="preserve">, a tylko u 13% szczepów zaobserwowano aktywność solubilizacji fosforanów. </w:t>
      </w:r>
      <w:r w:rsidRPr="00FC6DEE">
        <w:rPr>
          <w:rFonts w:cs="Times New Roman"/>
          <w:szCs w:val="24"/>
        </w:rPr>
        <w:t xml:space="preserve">Przeprowadzone analizy pozwoliły na wyselekcjonowanie 23 szczepów bakterii endofitycznych posiadających liczne mechanizmy promowania wzrostu i rozwoju roślin. </w:t>
      </w:r>
      <w:r w:rsidRPr="00FC6DEE">
        <w:rPr>
          <w:rFonts w:eastAsia="Times New Roman" w:cs="Times New Roman"/>
          <w:szCs w:val="24"/>
          <w:lang w:eastAsia="pl-PL"/>
        </w:rPr>
        <w:t xml:space="preserve">Ważnym aspektem przeprowadzonych badań było zidentyfikowanie stosunkowo wysokiej liczby bakterii, które posiadają szeroki zakres gospodarzy roślinnych (np. </w:t>
      </w:r>
      <w:r w:rsidRPr="00FC6DEE">
        <w:rPr>
          <w:rFonts w:eastAsia="Times New Roman" w:cs="Times New Roman"/>
          <w:i/>
          <w:szCs w:val="24"/>
          <w:lang w:eastAsia="pl-PL"/>
        </w:rPr>
        <w:t>Delftia</w:t>
      </w:r>
      <w:r w:rsidRPr="00FC6DEE">
        <w:rPr>
          <w:rFonts w:eastAsia="Times New Roman" w:cs="Times New Roman"/>
          <w:szCs w:val="24"/>
          <w:lang w:eastAsia="pl-PL"/>
        </w:rPr>
        <w:t xml:space="preserve"> </w:t>
      </w:r>
      <w:proofErr w:type="spellStart"/>
      <w:r w:rsidRPr="00FC6DEE">
        <w:rPr>
          <w:rFonts w:eastAsia="Times New Roman" w:cs="Times New Roman"/>
          <w:szCs w:val="24"/>
          <w:lang w:eastAsia="pl-PL"/>
        </w:rPr>
        <w:t>spp</w:t>
      </w:r>
      <w:proofErr w:type="spellEnd"/>
      <w:r w:rsidRPr="00FC6DEE">
        <w:rPr>
          <w:rFonts w:eastAsia="Times New Roman" w:cs="Times New Roman"/>
          <w:szCs w:val="24"/>
          <w:lang w:eastAsia="pl-PL"/>
        </w:rPr>
        <w:t xml:space="preserve">.). W związku z powyższym bakterie te mogą stanowić tzw. </w:t>
      </w:r>
      <w:r w:rsidRPr="00FC6DEE">
        <w:t>rdzeń bakterii endofitycznych w danym obszarze (rdzeń rodzimych bakterii) oraz mogą posiadać tzw. kompetencje endofityczne związane z efektywnością nawiązywania interakcji z roślinami.</w:t>
      </w:r>
      <w:r w:rsidRPr="00FC6DEE">
        <w:rPr>
          <w:rFonts w:eastAsia="Times New Roman" w:cs="Times New Roman"/>
          <w:szCs w:val="24"/>
          <w:lang w:eastAsia="pl-PL"/>
        </w:rPr>
        <w:t xml:space="preserve"> Połączenie analiz genetycznych i testów metabolicznych jest kluczowym elementem w selekcji najwłaściwszych szczepów jako skutecznych składników biopreparatów stymulujących wzrost i rozwój roślin w sposób zrównoważony dla środowiska. </w:t>
      </w:r>
      <w:r w:rsidRPr="00FC6DEE">
        <w:rPr>
          <w:rFonts w:cs="Times New Roman"/>
          <w:szCs w:val="24"/>
        </w:rPr>
        <w:t xml:space="preserve">Scharakteryzowane w ramach przeprowadzonych badań szczepy bakterii endofitycznych wykazują potencjał do dalszych badań nad praktycznym </w:t>
      </w:r>
      <w:r w:rsidRPr="00FC6DEE">
        <w:rPr>
          <w:rFonts w:eastAsia="Times New Roman" w:cs="Times New Roman"/>
          <w:szCs w:val="24"/>
          <w:lang w:eastAsia="pl-PL"/>
        </w:rPr>
        <w:t>zastosowaniem jako składników biopreparatów promujących wzrost roślin.</w:t>
      </w:r>
    </w:p>
    <w:p w:rsidR="00C11A5E" w:rsidRDefault="00C11A5E"/>
    <w:sectPr w:rsidR="00C11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dvOT7d6df7ab.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1ef757c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647B5"/>
    <w:multiLevelType w:val="multilevel"/>
    <w:tmpl w:val="EA1E2068"/>
    <w:lvl w:ilvl="0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>
      <w:start w:val="1"/>
      <w:numFmt w:val="decimal"/>
      <w:pStyle w:val="Nagwek1"/>
      <w:isLgl/>
      <w:lvlText w:val="%1.%2.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pStyle w:val="Nagwek2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00A"/>
    <w:rsid w:val="001732C7"/>
    <w:rsid w:val="00274555"/>
    <w:rsid w:val="00394F33"/>
    <w:rsid w:val="00C11A5E"/>
    <w:rsid w:val="00F5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75C8C"/>
  <w15:chartTrackingRefBased/>
  <w15:docId w15:val="{C75E9C89-C61E-4922-9A6C-E2A4EABA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300A"/>
    <w:pPr>
      <w:spacing w:after="0" w:line="360" w:lineRule="auto"/>
      <w:ind w:firstLine="680"/>
      <w:jc w:val="both"/>
    </w:pPr>
    <w:rPr>
      <w:rFonts w:ascii="Times New Roman" w:hAnsi="Times New Roman"/>
      <w:sz w:val="24"/>
    </w:rPr>
  </w:style>
  <w:style w:type="paragraph" w:styleId="Nagwek1">
    <w:name w:val="heading 1"/>
    <w:aliases w:val="Pod.1"/>
    <w:basedOn w:val="Normalny"/>
    <w:next w:val="Normalny"/>
    <w:link w:val="Nagwek1Znak"/>
    <w:autoRedefine/>
    <w:uiPriority w:val="9"/>
    <w:rsid w:val="00F5300A"/>
    <w:pPr>
      <w:keepNext/>
      <w:keepLines/>
      <w:numPr>
        <w:ilvl w:val="1"/>
        <w:numId w:val="1"/>
      </w:numPr>
      <w:spacing w:before="240" w:after="240" w:line="276" w:lineRule="auto"/>
      <w:ind w:left="1174"/>
      <w:outlineLvl w:val="0"/>
    </w:pPr>
    <w:rPr>
      <w:rFonts w:eastAsiaTheme="majorEastAsia"/>
      <w:b/>
      <w:color w:val="000000" w:themeColor="text1"/>
      <w:sz w:val="28"/>
      <w:szCs w:val="28"/>
    </w:rPr>
  </w:style>
  <w:style w:type="paragraph" w:styleId="Nagwek2">
    <w:name w:val="heading 2"/>
    <w:aliases w:val="Pod.2"/>
    <w:basedOn w:val="Normalny"/>
    <w:next w:val="Normalny"/>
    <w:link w:val="Nagwek2Znak"/>
    <w:autoRedefine/>
    <w:uiPriority w:val="9"/>
    <w:unhideWhenUsed/>
    <w:rsid w:val="00F5300A"/>
    <w:pPr>
      <w:keepNext/>
      <w:keepLines/>
      <w:numPr>
        <w:ilvl w:val="2"/>
        <w:numId w:val="1"/>
      </w:numPr>
      <w:spacing w:before="240" w:after="240" w:line="276" w:lineRule="auto"/>
      <w:ind w:left="1741"/>
      <w:outlineLvl w:val="1"/>
    </w:pPr>
    <w:rPr>
      <w:rFonts w:eastAsia="Times New Roman" w:cstheme="majorBidi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Pod.1 Znak"/>
    <w:basedOn w:val="Domylnaczcionkaakapitu"/>
    <w:link w:val="Nagwek1"/>
    <w:uiPriority w:val="9"/>
    <w:rsid w:val="00F5300A"/>
    <w:rPr>
      <w:rFonts w:ascii="Times New Roman" w:eastAsiaTheme="majorEastAsia" w:hAnsi="Times New Roman"/>
      <w:b/>
      <w:color w:val="000000" w:themeColor="text1"/>
      <w:sz w:val="28"/>
      <w:szCs w:val="28"/>
    </w:rPr>
  </w:style>
  <w:style w:type="character" w:customStyle="1" w:styleId="Nagwek2Znak">
    <w:name w:val="Nagłówek 2 Znak"/>
    <w:aliases w:val="Pod.2 Znak"/>
    <w:basedOn w:val="Domylnaczcionkaakapitu"/>
    <w:link w:val="Nagwek2"/>
    <w:uiPriority w:val="9"/>
    <w:rsid w:val="00F5300A"/>
    <w:rPr>
      <w:rFonts w:ascii="Times New Roman" w:eastAsia="Times New Roman" w:hAnsi="Times New Roman" w:cstheme="majorBidi"/>
      <w:sz w:val="24"/>
      <w:szCs w:val="24"/>
      <w:lang w:eastAsia="pl-PL"/>
    </w:rPr>
  </w:style>
  <w:style w:type="paragraph" w:customStyle="1" w:styleId="Rozdzia">
    <w:name w:val="Rozdział"/>
    <w:basedOn w:val="Nagwek1"/>
    <w:link w:val="RozdziaZnak"/>
    <w:autoRedefine/>
    <w:qFormat/>
    <w:rsid w:val="001732C7"/>
    <w:pPr>
      <w:numPr>
        <w:ilvl w:val="0"/>
        <w:numId w:val="0"/>
      </w:numPr>
      <w:jc w:val="center"/>
    </w:pPr>
    <w:rPr>
      <w:color w:val="auto"/>
      <w:sz w:val="32"/>
    </w:rPr>
  </w:style>
  <w:style w:type="character" w:customStyle="1" w:styleId="RozdziaZnak">
    <w:name w:val="Rozdział Znak"/>
    <w:basedOn w:val="Domylnaczcionkaakapitu"/>
    <w:link w:val="Rozdzia"/>
    <w:rsid w:val="001732C7"/>
    <w:rPr>
      <w:rFonts w:ascii="Times New Roman" w:eastAsiaTheme="majorEastAsia" w:hAnsi="Times New Roman"/>
      <w:b/>
      <w:sz w:val="32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45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5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Małgorzata Woźniak </cp:lastModifiedBy>
  <cp:revision>2</cp:revision>
  <dcterms:created xsi:type="dcterms:W3CDTF">2022-11-24T10:28:00Z</dcterms:created>
  <dcterms:modified xsi:type="dcterms:W3CDTF">2022-11-24T10:28:00Z</dcterms:modified>
</cp:coreProperties>
</file>